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Mengapa Albanese perlu memenangkan wilayah Barat lagi</w:t>
      </w:r>
    </w:p>
    <w:p>
      <w:pPr>
        <w:jc w:val="both"/>
      </w:pPr>
      <w:r>
        <w:rPr/>
        <w:t xml:space="preserve">Peluang Partai Buruh untuk mempertahankan pemerintahan mayoritas bergantung pada perolehan kursi di WA, itulah sebabnya kedua partai besar menghabiskan banyak waktu di wilayah Barat.</w:t>
      </w:r>
    </w:p>
    <w:p>
      <w:pPr/>
      <w:r>
        <w:pict>
          <v:shape type="#_x0000_t75" stroked="f" style="width:600px; height:337.5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Partai Buruh dan Partai Liberal sedang bersaing ketat dalam pemilihan umum di Western Australia. : Ilustrasi oleh Michael Joiner, 360info. Gambar via Menteri Pertahanan AS, Flickr CC BY 4.0</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John Phillimore</w:t>
            </w:r>
            <w:r>
              <w:rPr/>
              <w:t xml:space="preserve"> - Curtin University -  -</w:t>
            </w:r>
          </w:p>
        </w:tc>
        <w:tc>
          <w:tcPr>
            <w:tcW w:w="300" w:type="pct"/>
            <w:tcMar>
              <w:bottom w:w="0" w:type="dxa"/>
            </w:tcMar>
            <w:noWrap/>
          </w:tcPr>
          <w:p>
            <w:pPr/>
          </w:p>
        </w:tc>
        <w:tc>
          <w:tcPr>
            <w:tcW w:w="2350" w:type="pct"/>
            <w:tcMar>
              <w:bottom w:w="0" w:type="dxa"/>
            </w:tcMar>
            <w:noWrap/>
          </w:tcPr>
          <w:p>
            <w:pPr/>
            <w:r>
              <w:rPr>
                <w:b w:val="1"/>
                <w:bCs w:val="1"/>
              </w:rPr>
              <w:t xml:space="preserve">Tom Wharton</w:t>
            </w:r>
            <w:r>
              <w:rPr/>
              <w:t xml:space="preserve"> - Commissioning Editor, 360info</w:t>
            </w:r>
          </w:p>
        </w:tc>
      </w:tr>
      <w:tr>
        <w:trPr/>
        <w:tc>
          <w:tcPr>
            <w:tcW w:w="2350" w:type="pct"/>
            <w:tcMar>
              <w:bottom w:w="0" w:type="dxa"/>
            </w:tcMar>
            <w:noWrap/>
          </w:tcPr>
          <w:p>
            <w:pPr/>
          </w:p>
        </w:tc>
        <w:tc>
          <w:tcPr>
            <w:tcW w:w="300" w:type="pct"/>
            <w:tcMar>
              <w:bottom w:w="0" w:type="dxa"/>
            </w:tcMar>
            <w:noWrap/>
          </w:tcPr>
          <w:p>
            <w:pPr/>
          </w:p>
        </w:tc>
        <w:tc>
          <w:tcPr>
            <w:tcW w:w="2350" w:type="pct"/>
            <w:tcMar>
              <w:bottom w:w="0" w:type="dxa"/>
            </w:tcMar>
            <w:noWrap/>
          </w:tcPr>
          <w:p>
            <w:pPr/>
            <w:r>
              <w:rPr>
                <w:b w:val="1"/>
                <w:bCs w:val="1"/>
              </w:rPr>
              <w:t xml:space="preserve">Dean Southwell</w:t>
            </w:r>
            <w:r>
              <w:rPr/>
              <w:t xml:space="preserve"> - Production Editor, 360info -  -</w:t>
            </w:r>
          </w:p>
        </w:tc>
      </w:tr>
    </w:tbl>
    <w:p/>
    <w:p>
      <w:pPr/>
      <w:r>
        <w:rPr/>
        <w:t xml:space="preserve">Peluang Partai Buruh untuk mempertahankan pemerintahan mayoritas bergantung pada perolehan kursi di WA, itulah sebabnya kedua partai besar menghabiskan banyak waktu di wilayah barat.</w:t>
      </w:r>
    </w:p>
    <w:p>
      <w:pPr/>
      <w:br/>
      <w:r>
        <w:rPr/>
        <w:t xml:space="preserve">`</w:t>
      </w:r>
    </w:p>
    <w:p>
      <w:pPr/>
      <w:r>
        <w:rPr/>
        <w:t xml:space="preserve">Western Australia menjadi kunci bagi peluang Partai Buruh untuk mempertahankan pemerintahan pada 2025 — sama seperti tiga tahun lalu — namun pertanyaan besarnya adalah apakah kesuksesan Anthony Albanese di negara bagian tersebut pada 2022 dapat diulang.</w:t>
      </w:r>
    </w:p>
    <w:p>
      <w:pPr/>
      <w:r>
        <w:rPr/>
        <w:t xml:space="preserve">Apakah </w:t>
      </w:r>
      <w:hyperlink r:id="rId8" w:history="1">
        <w:r>
          <w:rPr>
            <w:u w:val="single"/>
          </w:rPr>
          <w:t xml:space="preserve">hasil pemilu federal 2022</w:t>
        </w:r>
      </w:hyperlink>
      <w:r>
        <w:rPr/>
        <w:t xml:space="preserve"> di WA, di mana Partai Buruh meraih 55 persen suara dua partai pilihan dan mengurangi Partai Liberal menjadi hanya lima kursi, hanyalah kebetulan, dan apakah WA akan kembali ke dominasi tradisional Partai Liberal tahun ini?</w:t>
      </w:r>
    </w:p>
    <w:p>
      <w:pPr/>
      <w:r>
        <w:rPr/>
        <w:t xml:space="preserve">Dengan Partai Buruh hanya perlu kehilangan dua kursi untuk kehilangan mayoritasnya, jawaban atas pertanyaan ini memegang kunci bagi pemilu yang akan datang.</w:t>
      </w:r>
    </w:p>
    <w:p>
      <w:pPr/>
      <w:r>
        <w:rPr/>
        <w:t xml:space="preserve">Tiga tahun lalu, didorong oleh popularitas Premier Mark McGowan yang meningkat akibat pandemi COVID-19, Albanese mengerahkan segala upaya di WA, termasuk </w:t>
      </w:r>
      <w:hyperlink r:id="rId9" w:history="1">
        <w:r>
          <w:rPr>
            <w:u w:val="single"/>
          </w:rPr>
          <w:t xml:space="preserve">mengadakan peluncuran kampanye nasionalnya di Perth</w:t>
        </w:r>
      </w:hyperlink>
      <w:r>
        <w:rPr/>
        <w:t xml:space="preserve">.</w:t>
      </w:r>
    </w:p>
    <w:p>
      <w:pPr/>
      <w:r>
        <w:rPr/>
        <w:t xml:space="preserve">Dia dibalas dengan merebut empat kursi dari Partai Liberal dalam perjalanannya menjadi perdana menteri. Kesulitan Partai Liberal semakin parah dengan kehilangan kursi Curtin yang berharga ke </w:t>
      </w:r>
      <w:hyperlink r:id="rId10" w:history="1">
        <w:r>
          <w:rPr>
            <w:u w:val="single"/>
          </w:rPr>
          <w:t xml:space="preserve">calon independen Kate Chaney</w:t>
        </w:r>
      </w:hyperlink>
      <w:r>
        <w:rPr/>
        <w:t xml:space="preserve">.</w:t>
      </w:r>
    </w:p>
    <w:p>
      <w:pPr/>
      <w:r>
        <w:rPr/>
        <w:t xml:space="preserve">Porsi suara pertama Partai Buruh di WA sebesar 36,8 persen, empat poin persentase lebih tinggi dari porsi nasional Partai Buruh, dan porsi dua partai favoritnya merupakan suara tertinggi Partai Buruh di semua negara bagian. Dibandingkan dengan 44,4 persen pada 2019, saat itu menjadi yang terendah kedua.</w:t>
      </w:r>
    </w:p>
    <w:p>
      <w:pPr/>
      <w:r>
        <w:rPr/>
        <w:t xml:space="preserve">Sebuah kursi tambahan — Bullwinkel, di pinggiran timur Perth — telah diciptakan di WA akibat peningkatan populasi. Kursi ini </w:t>
      </w:r>
      <w:hyperlink r:id="rId11" w:history="1">
        <w:r>
          <w:rPr>
            <w:u w:val="single"/>
          </w:rPr>
          <w:t xml:space="preserve">secara teoritis</w:t>
        </w:r>
      </w:hyperlink>
      <w:r>
        <w:rPr/>
        <w:t xml:space="preserve"> merupakan </w:t>
      </w:r>
      <w:hyperlink r:id="rId11" w:history="1">
        <w:r>
          <w:rPr>
            <w:u w:val="single"/>
          </w:rPr>
          <w:t xml:space="preserve">kursi marjinal Partai Buruh</w:t>
        </w:r>
      </w:hyperlink>
      <w:r>
        <w:rPr/>
        <w:t xml:space="preserve">, sehingga partai tersebut kini menguasai 10 dari 16 kursi di WA, Partai Liberal lima kursi, dan satu kursi independen.</w:t>
      </w:r>
    </w:p>
    <w:p>
      <w:pPr>
        <w:pStyle w:val="Heading4"/>
      </w:pPr>
      <w:r>
        <w:rPr>
          <w:b w:val="1"/>
          <w:bCs w:val="1"/>
        </w:rPr>
        <w:t xml:space="preserve">Melawan tren</w:t>
      </w:r>
    </w:p>
    <w:p>
      <w:pPr/>
      <w:r>
        <w:rPr/>
        <w:t xml:space="preserve">Tidak selalu seperti ini. Meskipun pemilih di WA senang memilih pemerintah negara bagian Partai Buruh, </w:t>
      </w:r>
      <w:hyperlink r:id="rId12" w:history="1">
        <w:r>
          <w:rPr>
            <w:u w:val="single"/>
          </w:rPr>
          <w:t xml:space="preserve">negara bagian ini telah menjadi basis kuat Partai Liberal di tingkat federal</w:t>
        </w:r>
      </w:hyperlink>
      <w:r>
        <w:rPr/>
        <w:t xml:space="preserve"> selama 30 tahun.</w:t>
      </w:r>
    </w:p>
    <w:p>
      <w:pPr/>
      <w:r>
        <w:rPr/>
        <w:t xml:space="preserve">Hingga 2022, Partai Buruh belum pernah memenangkan suara dua partai atau mayoritas kursi di WA dalam pemilu federal sejak 1987. Partai Buruh hanya memenangkan tiga dari 15 kursi pada 2010 dan 2013, serta lima dari 16 kursi pada 2016 dan 2019.</w:t>
      </w:r>
    </w:p>
    <w:p>
      <w:pPr/>
      <w:r>
        <w:rPr/>
        <w:t xml:space="preserve">Suara Partai Buruh di WA secara tradisional tertinggal dibandingkan suara nasionalnya, dan negara bagian ini lebih mirip dengan Queensland: mempercayai Koalisi di tingkat federal untuk melindungi WA dan ekonomi berbasis sumber dayanya dari campur tangan atau serangan dari Canberra.</w:t>
      </w:r>
    </w:p>
    <w:p>
      <w:pPr/>
      <w:r>
        <w:rPr/>
        <w:t xml:space="preserve">Hingga akhir tahun lalu, </w:t>
      </w:r>
      <w:hyperlink r:id="rId13" w:history="1">
        <w:r>
          <w:rPr>
            <w:u w:val="single"/>
          </w:rPr>
          <w:t xml:space="preserve">jajak pendapat nasional</w:t>
        </w:r>
      </w:hyperlink>
      <w:r>
        <w:rPr/>
        <w:t xml:space="preserve"> tampaknya menunjukkan bahwa suara Partai Buruh di WA bertahan lebih baik daripada di daerah lain, dengan Partai Buruh memiliki suara dua partai pilihan antara 52 dan 54 persen, dibandingkan dengan 47 hingga 49 persen secara nasional.</w:t>
      </w:r>
    </w:p>
    <w:p>
      <w:pPr/>
      <w:r>
        <w:rPr/>
        <w:t xml:space="preserve">Mengakui pentingnya negara bagian ini, baik Anthony Albanese maupun Pemimpin Oposisi Peter Dutton sering mengunjungi WA, dengan perdana menteri bahkan mencatat kunjungannya — ia mengatakan telah </w:t>
      </w:r>
      <w:hyperlink r:id="rId14" w:history="1">
        <w:r>
          <w:rPr>
            <w:u w:val="single"/>
          </w:rPr>
          <w:t xml:space="preserve">mengunjungi </w:t>
        </w:r>
      </w:hyperlink>
      <w:r>
        <w:rPr/>
        <w:t xml:space="preserve">WA </w:t>
      </w:r>
      <w:hyperlink r:id="rId14" w:history="1">
        <w:r>
          <w:rPr>
            <w:u w:val="single"/>
          </w:rPr>
          <w:t xml:space="preserve">28 kali</w:t>
        </w:r>
      </w:hyperlink>
      <w:r>
        <w:rPr/>
        <w:t xml:space="preserve"> hingga akhir Januari 2025. Kabinet penuh juga pernah bertemu di WA beberapa kali.</w:t>
      </w:r>
    </w:p>
    <w:p>
      <w:pPr/>
      <w:r>
        <w:rPr/>
        <w:t xml:space="preserve">Kombinasi isu nasional dan negara bagian kemungkinan akan mempengaruhi cara WA memberikan suaranya. Meskipun ekonomi WA berjalan baik dan tingkat pengangguran rendah, negara bagian ini tetap merasakan tekanan dari biaya hidup, suku bunga tinggi, harga rumah, dan sewa.</w:t>
      </w:r>
    </w:p>
    <w:p>
      <w:pPr>
        <w:pStyle w:val="Heading4"/>
      </w:pPr>
      <w:r>
        <w:rPr>
          <w:b w:val="1"/>
          <w:bCs w:val="1"/>
        </w:rPr>
        <w:t xml:space="preserve">Isu-isu WA</w:t>
      </w:r>
    </w:p>
    <w:p>
      <w:pPr/>
      <w:r>
        <w:rPr/>
        <w:t xml:space="preserve">Namun, faktor-faktor khusus WA juga akan berperan, termasuk GST. Kedua </w:t>
      </w:r>
      <w:hyperlink r:id="rId15" w:history="1">
        <w:r>
          <w:rPr>
            <w:u w:val="single"/>
          </w:rPr>
          <w:t xml:space="preserve">pemimpin federal telah berjanji untuk mempertahankan kesepakatan 2018</w:t>
        </w:r>
      </w:hyperlink>
      <w:r>
        <w:rPr/>
        <w:t xml:space="preserve"> yang memastikan setidaknya 75 persen pendapatan GST WA tetap di negara bagian tersebut, tetapi Partai Buruh berargumen bahwa Peter Dutton merupakan ancaman bagi kesepakatan tersebut karena dilaporkan menentangnya di Kabinet.</w:t>
      </w:r>
    </w:p>
    <w:p>
      <w:pPr/>
      <w:r>
        <w:rPr/>
        <w:t xml:space="preserve">Partai Buruh juga mempromosikan dukungannya terhadap industri pertahanan dan galangan kapal lokal, serta mengumumkan </w:t>
      </w:r>
      <w:hyperlink r:id="rId16" w:history="1">
        <w:r>
          <w:rPr>
            <w:u w:val="single"/>
          </w:rPr>
          <w:t xml:space="preserve">dana</w:t>
        </w:r>
      </w:hyperlink>
      <w:r>
        <w:rPr/>
        <w:t xml:space="preserve"> untuk perbaikan jalan tol, perumahan regional, dan infrastruktur komunitas.</w:t>
      </w:r>
    </w:p>
    <w:p>
      <w:pPr/>
      <w:r>
        <w:rPr/>
        <w:t xml:space="preserve">Partai Buruh secara khusus merujuk pada </w:t>
      </w:r>
      <w:hyperlink r:id="rId17" w:history="1">
        <w:r>
          <w:rPr>
            <w:u w:val="single"/>
          </w:rPr>
          <w:t xml:space="preserve">kredit pajak produksi</w:t>
        </w:r>
      </w:hyperlink>
      <w:r>
        <w:rPr/>
        <w:t xml:space="preserve"> untuk industri hidrogen hijau dan mineral kritis, yang baru saja disetujui oleh parlemen federal dan kemungkinan besar akan diterapkan secara luas di WA.</w:t>
      </w:r>
    </w:p>
    <w:p>
      <w:pPr/>
      <w:r>
        <w:rPr/>
        <w:t xml:space="preserve">Koalisi Federal menentang undang-undang ini, membuka </w:t>
      </w:r>
      <w:hyperlink r:id="rId18" w:history="1">
        <w:r>
          <w:rPr>
            <w:u w:val="single"/>
          </w:rPr>
          <w:t xml:space="preserve">potensi perpecahan dengan mitra Liberal negara bagian</w:t>
        </w:r>
      </w:hyperlink>
      <w:r>
        <w:rPr/>
        <w:t xml:space="preserve"> dan sektor sumber daya, yang mendukungnya.</w:t>
      </w:r>
    </w:p>
    <w:p>
      <w:pPr/>
      <w:r>
        <w:rPr/>
        <w:t xml:space="preserve">Namun, Partai Buruh juga memiliki perbedaan antara tingkat federal dan negara bagian. Rancangan undang-undang lingkungan nature positive yang diusulkan oleh Partai Buruh federal telah melemah secara bertahap dan akhirnya ditunda setelah </w:t>
      </w:r>
      <w:hyperlink r:id="rId19" w:history="1">
        <w:r>
          <w:rPr>
            <w:u w:val="single"/>
          </w:rPr>
          <w:t xml:space="preserve">penolakan dari Gubernur WA dari Partai Buruh, Roger Cook</w:t>
        </w:r>
      </w:hyperlink>
      <w:r>
        <w:rPr/>
        <w:t xml:space="preserve">. Cook khawatir dampaknya terhadap industri pertambangan negara bagian.</w:t>
      </w:r>
    </w:p>
    <w:p>
      <w:pPr/>
      <w:hyperlink r:id="rId20" w:history="1">
        <w:r>
          <w:rPr>
            <w:u w:val="single"/>
          </w:rPr>
          <w:t xml:space="preserve">Undang-undang federal yang melarang ekspor domba hidup</w:t>
        </w:r>
      </w:hyperlink>
      <w:r>
        <w:rPr/>
        <w:t xml:space="preserve"> tidak didukung oleh pemerintah negara bagian dan menjadi titik panas di banyak komunitas pedesaan. Masalah ini dapat menjadi faktor penting di </w:t>
      </w:r>
      <w:hyperlink r:id="rId21" w:history="1">
        <w:r>
          <w:rPr>
            <w:u w:val="single"/>
          </w:rPr>
          <w:t xml:space="preserve">distrik pemilihan</w:t>
        </w:r>
      </w:hyperlink>
      <w:r>
        <w:rPr/>
        <w:t xml:space="preserve"> baru </w:t>
      </w:r>
      <w:hyperlink r:id="rId21" w:history="1">
        <w:r>
          <w:rPr>
            <w:u w:val="single"/>
          </w:rPr>
          <w:t xml:space="preserve">Bullwinkel</w:t>
        </w:r>
      </w:hyperlink>
      <w:r>
        <w:rPr/>
        <w:t xml:space="preserve">, yang mencakup proporsi signifikan pemilih pedesaan dan sedang diperebutkan oleh mantan pemimpin dan menteri Partai Nasional WA, Mia Davies, dalam pertarungan tiga arah dengan Partai Buruh dan Partai Liberal.</w:t>
      </w:r>
    </w:p>
    <w:p>
      <w:pPr/>
      <w:hyperlink r:id="rId22" w:history="1">
        <w:r>
          <w:rPr>
            <w:u w:val="single"/>
          </w:rPr>
          <w:t xml:space="preserve">Partai Buruh juga akan menyerang</w:t>
        </w:r>
      </w:hyperlink>
      <w:hyperlink r:id="rId23" w:history="1">
        <w:r>
          <w:rPr>
            <w:u w:val="single"/>
          </w:rPr>
          <w:t xml:space="preserve">rencana</w:t>
        </w:r>
      </w:hyperlink>
      <w:hyperlink r:id="rId23" w:history="1">
        <w:r>
          <w:rPr>
            <w:u w:val="single"/>
          </w:rPr>
          <w:t xml:space="preserve">Koalisi untuk membangun pembangkit listrik nuklir</w:t>
        </w:r>
      </w:hyperlink>
      <w:r>
        <w:rPr/>
        <w:t xml:space="preserve"> di kota Collie di bagian barat daya, yang sedang bertransisi dari batu bara melalui investasi besar dalam energi terbarukan dan industri terkait.</w:t>
      </w:r>
    </w:p>
    <w:p>
      <w:pPr/>
      <w:r>
        <w:rPr/>
        <w:t xml:space="preserve">Di sisi lain, </w:t>
      </w:r>
      <w:hyperlink r:id="rId24" w:history="1">
        <w:r>
          <w:rPr>
            <w:u w:val="single"/>
          </w:rPr>
          <w:t xml:space="preserve">Koalisi berargumen</w:t>
        </w:r>
      </w:hyperlink>
      <w:r>
        <w:rPr/>
        <w:t xml:space="preserve"> bahwa reformasi hubungan industrial Partai Buruh federal membahayakan industri pertambangan akibat kebangkitan aktivisme serikat pekerja.</w:t>
      </w:r>
    </w:p>
    <w:p>
      <w:pPr>
        <w:pStyle w:val="Heading4"/>
      </w:pPr>
      <w:r>
        <w:rPr>
          <w:b w:val="1"/>
          <w:bCs w:val="1"/>
        </w:rPr>
        <w:t xml:space="preserve">Kursi yang penting</w:t>
      </w:r>
    </w:p>
    <w:p>
      <w:pPr/>
      <w:r>
        <w:rPr/>
        <w:t xml:space="preserve">Ada banyak kursi penting di WA yang perlu diperhatikan.</w:t>
      </w:r>
    </w:p>
    <w:p>
      <w:pPr/>
      <w:r>
        <w:rPr/>
        <w:t xml:space="preserve">Curtin dipegang oleh Kate Chaney, seorang independen, dengan selisih hanya 1,3 persen, dan </w:t>
      </w:r>
      <w:hyperlink r:id="rId25" w:history="1">
        <w:r>
          <w:rPr>
            <w:u w:val="single"/>
          </w:rPr>
          <w:t xml:space="preserve">Partai</w:t>
        </w:r>
      </w:hyperlink>
      <w:r>
        <w:rPr/>
        <w:t xml:space="preserve"> </w:t>
      </w:r>
      <w:hyperlink r:id="rId25" w:history="1">
        <w:r>
          <w:rPr>
            <w:u w:val="single"/>
          </w:rPr>
          <w:t xml:space="preserve">Liberal sangat berupaya</w:t>
        </w:r>
      </w:hyperlink>
      <w:r>
        <w:rPr/>
        <w:t xml:space="preserve"> untuk merebutnya kembali.</w:t>
      </w:r>
    </w:p>
    <w:p>
      <w:pPr/>
      <w:r>
        <w:rPr/>
        <w:t xml:space="preserve">Kursi Moore yang dikuasai Partai Liberal memiliki selisih terkecil di antara semua kursi di WA, yaitu 0,9 persen, dan anggota lama Ian Goodenough telah kalah dalam pemilihan internal dan </w:t>
      </w:r>
      <w:hyperlink r:id="rId26" w:history="1">
        <w:r>
          <w:rPr>
            <w:u w:val="single"/>
          </w:rPr>
          <w:t xml:space="preserve">akan maju sebagai independen</w:t>
        </w:r>
      </w:hyperlink>
      <w:r>
        <w:rPr/>
        <w:t xml:space="preserve">. Namun, tampaknya tidak mungkin Partai Buruh dapat merebut kursi ini, mengingat hasil 2022 kemungkinan merupakan puncak dukungan mereka.</w:t>
      </w:r>
    </w:p>
    <w:p>
      <w:pPr/>
      <w:r>
        <w:rPr/>
        <w:t xml:space="preserve">Kursi paling rentan Partai Buruh selain Bullwinkel, yang secara teoritis dikuasai Partai Buruh dengan selisih 3,3 persen, adalah Tangney, yang dikuasai dengan selisih hanya 2,8 persen. Jika terjadi pergeseran besar secara nasional, maka kursi-kursi yang sebelumnya dikuasai Partai Liberal seperti Pearce (selisih 8,8 persen), Swan (9,4 persen), dan Hasluck (10 persen) juga mungkin menjadi pertarungan.</w:t>
      </w:r>
    </w:p>
    <w:p>
      <w:pPr/>
      <w:r>
        <w:rPr/>
        <w:t xml:space="preserve">Survei menunjukkan bahwa ayunan politik di WA, yang berayun secara drastis ke Partai Buruh pada 2022, akan kembali ke posisi yang lebih seimbang, mungkin bahkan delapan kursi masing-masing.</w:t>
      </w:r>
    </w:p>
    <w:p>
      <w:pPr/>
      <w:r>
        <w:rPr/>
        <w:t xml:space="preserve">Bagi Partai Buruh, hal itu akan berarti kehilangan dua kursi — dan potensi kehilangan mayoritas pemerintahan — dan menjelaskan mengapa begitu banyak upaya difokuskan pada WA.</w:t>
      </w:r>
    </w:p>
    <w:p>
      <w:pPr/>
      <w:r>
        <w:rPr>
          <w:b w:val="1"/>
          <w:bCs w:val="1"/>
          <w:i w:val="1"/>
          <w:iCs w:val="1"/>
        </w:rPr>
        <w:t xml:space="preserve">Profesor John Phillimore</w:t>
      </w:r>
      <w:r>
        <w:rPr>
          <w:i w:val="1"/>
          <w:iCs w:val="1"/>
        </w:rPr>
        <w:t xml:space="preserve"> adalah Direktur Eksekutif John Curtin Institute of Public Policy (JCIPP) di Curtin University.</w:t>
      </w:r>
    </w:p>
    <w:p>
      <w:pPr/>
      <w:r>
        <w:rPr>
          <w:i w:val="1"/>
          <w:iCs w:val="1"/>
        </w:rPr>
        <w:t xml:space="preserve">Diterbitkan pertama kali di bawah lisensi </w:t>
      </w:r>
      <w:hyperlink r:id="rId27" w:history="1">
        <w:r>
          <w:rPr>
            <w:i w:val="1"/>
            <w:iCs w:val="1"/>
          </w:rPr>
          <w:t xml:space="preserve">Creative Commons</w:t>
        </w:r>
      </w:hyperlink>
      <w:r>
        <w:rPr>
          <w:i w:val="1"/>
          <w:iCs w:val="1"/>
        </w:rPr>
        <w:t xml:space="preserve"> oleh </w:t>
      </w:r>
      <w:hyperlink r:id="rId28"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9" w:history="1">
        <w:r>
          <w:rPr/>
          <w:t xml:space="preserve">pertama kali</w:t>
        </w:r>
      </w:hyperlink>
      <w:r>
        <w:rPr/>
        <w:t xml:space="preserve"> dipublikasikan tanggal 19 Feb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aec.gov.au/Elections/federal_elections/2022/files/maps/WA-2022-results-map.pdf" TargetMode="External"/><Relationship Id="rId9" Type="http://schemas.openxmlformats.org/officeDocument/2006/relationships/hyperlink" Target="https://www.theguardian.com/australia-news/2022/may/01/labors-election-pitch-five-key-policies-unveiled-at-partys-campaign-launch" TargetMode="External"/><Relationship Id="rId10" Type="http://schemas.openxmlformats.org/officeDocument/2006/relationships/hyperlink" Target="https://www.abc.net.au/news/elections/federal/2022/guide/curt" TargetMode="External"/><Relationship Id="rId11" Type="http://schemas.openxmlformats.org/officeDocument/2006/relationships/hyperlink" Target="https://www.aec.gov.au/media/files/Seat-status-fact-sheet-2025-federal-election.pdf" TargetMode="External"/><Relationship Id="rId12" Type="http://schemas.openxmlformats.org/officeDocument/2006/relationships/hyperlink" Target="https://www.abc.net.au/news/elections/federal/2022/guide/preview-wa" TargetMode="External"/><Relationship Id="rId13" Type="http://schemas.openxmlformats.org/officeDocument/2006/relationships/hyperlink" Target="https://en.wikipedia.org/wiki/Opinion_polling_for_the_2025_Australian_federal_election#Sub-national_polling" TargetMode="External"/><Relationship Id="rId14" Type="http://schemas.openxmlformats.org/officeDocument/2006/relationships/hyperlink" Target="https://www2.pm.gov.au/media/radio-interview-abc-perth-breakfast-1" TargetMode="External"/><Relationship Id="rId15" Type="http://schemas.openxmlformats.org/officeDocument/2006/relationships/hyperlink" Target="https://www.abc.net.au/news/2024-09-04/annabel-crabb-on-western-australia-gst-tax-policy-politics/104304254" TargetMode="External"/><Relationship Id="rId16" Type="http://schemas.openxmlformats.org/officeDocument/2006/relationships/hyperlink" Target="https://anthonyalbanese.com.au/media-centre/western-australia-is-key-to-the-vision-of-the-future-the-west-australian" TargetMode="External"/><Relationship Id="rId17" Type="http://schemas.openxmlformats.org/officeDocument/2006/relationships/hyperlink" Target="https://www.minister.industry.gov.au/ministers/king/media-releases/production-tax-credits-build-future-made-australia" TargetMode="External"/><Relationship Id="rId18" Type="http://schemas.openxmlformats.org/officeDocument/2006/relationships/hyperlink" Target="https://thewest.com.au/politics/federal-politics/liberals-split-on-tax-credits-as-miners-ramp-up-lobbying-campaign-c-14688585" TargetMode="External"/><Relationship Id="rId19" Type="http://schemas.openxmlformats.org/officeDocument/2006/relationships/hyperlink" Target="https://www.afr.com/politics/federal/wa-premier-warns-east-coast-latte-sippers-over-nature-positive-laws-20250129-p5l83v" TargetMode="External"/><Relationship Id="rId20" Type="http://schemas.openxmlformats.org/officeDocument/2006/relationships/hyperlink" Target="https://www.agriculture.gov.au/biosecurity-trade/export/controlled-goods/live-animals/livestock/live-sheep-exports-phase-out" TargetMode="External"/><Relationship Id="rId21" Type="http://schemas.openxmlformats.org/officeDocument/2006/relationships/hyperlink" Target="https://www.businessnews.com.au/article/Sheep-shape-as-key-Bullwinkel-factor" TargetMode="External"/><Relationship Id="rId22" Type="http://schemas.openxmlformats.org/officeDocument/2006/relationships/hyperlink" Target="https://www.youtube.com/watch?v=uH94aiAJ5G0" TargetMode="External"/><Relationship Id="rId23" Type="http://schemas.openxmlformats.org/officeDocument/2006/relationships/hyperlink" Target="https://www.theguardian.com/environment/article/2024/jun/19/coalition-nuclear-plan-peter-dutton-power-station-sites-australia" TargetMode="External"/><Relationship Id="rId24" Type="http://schemas.openxmlformats.org/officeDocument/2006/relationships/hyperlink" Target="https://www.michaeliacash.com.au/federal-news/media-release/media-release-albanese-hands-mining-industry-over-to-unions/" TargetMode="External"/><Relationship Id="rId25" Type="http://schemas.openxmlformats.org/officeDocument/2006/relationships/hyperlink" Target="https://www.afr.com/politics/federal/the-seat-liberal-heavyweights-believe-can-be-wrestled-from-the-teals-20250127-p5l7kp" TargetMode="External"/><Relationship Id="rId26" Type="http://schemas.openxmlformats.org/officeDocument/2006/relationships/hyperlink" Target="https://thewest.com.au/news/wa/sitting-mp-ian-goodenough-confirms-independent-run-after-losing-liberal-preselection-c-16996704" TargetMode="External"/><Relationship Id="rId27" Type="http://schemas.openxmlformats.org/officeDocument/2006/relationships/hyperlink" Target="https://creativecommons.org/licenses/by/4.0/" TargetMode="External"/><Relationship Id="rId28" Type="http://schemas.openxmlformats.org/officeDocument/2006/relationships/hyperlink" Target="https://360info.org" TargetMode="External"/><Relationship Id="rId29" Type="http://schemas.openxmlformats.org/officeDocument/2006/relationships/hyperlink" Target="https://360info.org/why-albanese-needs-to-win-the-west-aga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2026-02-26T09:37:27+00:00</dcterms:created>
  <dcterms:modified xsi:type="dcterms:W3CDTF">2026-02-26T09:37:27+00:00</dcterms:modified>
</cp:coreProperties>
</file>

<file path=docProps/custom.xml><?xml version="1.0" encoding="utf-8"?>
<Properties xmlns="http://schemas.openxmlformats.org/officeDocument/2006/custom-properties" xmlns:vt="http://schemas.openxmlformats.org/officeDocument/2006/docPropsVTypes"/>
</file>