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Apakah ini benar-benar solusi untuk krisis biaya hidup kita?</w:t>
      </w:r>
    </w:p>
    <w:p>
      <w:pPr>
        <w:jc w:val="both"/>
      </w:pPr>
      <w:r>
        <w:rPr/>
        <w:t xml:space="preserve">Australia seharusnya menyebut krisis biaya hidup ini dengan nama yang sebenarnya — kesenjangan kekayaan yang dapat diatasi dengan penghasilan dasar universal dan reformasi pajak yang sesungguhnya.</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Menerapkan pendapatan dasar universal di Australia dapat menjadi salah satu cara untuk mengatasi kesenjangan kekayaan yang semakin melebar di masyarakat. Ilustrasi oleh Michael Joiner, 360info CC BY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Christine Morley</w:t>
            </w:r>
            <w:r>
              <w:rPr/>
              <w:t xml:space="preserve"> - Queensland University of Technology</w:t>
            </w:r>
          </w:p>
        </w:tc>
        <w:tc>
          <w:tcPr>
            <w:tcW w:w="300" w:type="pct"/>
            <w:tcMar>
              <w:bottom w:w="0" w:type="dxa"/>
            </w:tcMar>
            <w:noWrap/>
          </w:tcPr>
          <w:p>
            <w:pPr/>
          </w:p>
        </w:tc>
        <w:tc>
          <w:tcPr>
            <w:tcW w:w="2350" w:type="pct"/>
            <w:tcMar>
              <w:bottom w:w="0" w:type="dxa"/>
            </w:tcMar>
            <w:noWrap/>
          </w:tcPr>
          <w:p>
            <w:pPr/>
            <w:r>
              <w:rPr>
                <w:b w:val="1"/>
                <w:bCs w:val="1"/>
              </w:rPr>
              <w:t xml:space="preserve">Tony Curran</w:t>
            </w:r>
            <w:r>
              <w:rPr/>
              <w:t xml:space="preserve"> - Commissioning Editor, 360info</w:t>
            </w:r>
          </w:p>
        </w:tc>
      </w:tr>
      <w:tr>
        <w:trPr/>
        <w:tc>
          <w:tcPr>
            <w:tcW w:w="2350" w:type="pct"/>
            <w:tcMar>
              <w:bottom w:w="0" w:type="dxa"/>
            </w:tcMar>
            <w:noWrap/>
          </w:tcPr>
          <w:p>
            <w:pPr/>
            <w:r>
              <w:rPr>
                <w:b w:val="1"/>
                <w:bCs w:val="1"/>
              </w:rPr>
              <w:t xml:space="preserve">Phillip Ablett</w:t>
            </w:r>
            <w:r>
              <w:rPr/>
              <w:t xml:space="preserve"> - Queensland University of Technology</w:t>
            </w:r>
          </w:p>
        </w:tc>
        <w:tc>
          <w:tcPr>
            <w:tcW w:w="300" w:type="pct"/>
            <w:tcMar>
              <w:bottom w:w="0" w:type="dxa"/>
            </w:tcMar>
            <w:noWrap/>
          </w:tcPr>
          <w:p>
            <w:pPr/>
          </w:p>
        </w:tc>
        <w:tc>
          <w:tcPr>
            <w:tcW w:w="2350" w:type="pct"/>
            <w:tcMar>
              <w:bottom w:w="0" w:type="dxa"/>
            </w:tcMar>
            <w:noWrap/>
          </w:tcPr>
          <w:p>
            <w:pPr/>
            <w:r>
              <w:rPr>
                <w:b w:val="1"/>
                <w:bCs w:val="1"/>
              </w:rPr>
              <w:t xml:space="preserve">Dean Southwell</w:t>
            </w:r>
            <w:r>
              <w:rPr/>
              <w:t xml:space="preserve"> - Production Editor, 360info</w:t>
            </w:r>
          </w:p>
        </w:tc>
      </w:tr>
      <w:tr>
        <w:trPr/>
        <w:tc>
          <w:tcPr>
            <w:tcW w:w="2350" w:type="pct"/>
            <w:tcMar>
              <w:bottom w:w="0" w:type="dxa"/>
            </w:tcMar>
            <w:noWrap/>
          </w:tcPr>
          <w:p>
            <w:pPr/>
            <w:r>
              <w:rPr>
                <w:b w:val="1"/>
                <w:bCs w:val="1"/>
              </w:rPr>
              <w:t xml:space="preserve">Jenni Mays</w:t>
            </w:r>
            <w:r>
              <w:rPr/>
              <w:t xml:space="preserve"> - Queensland University of Technology -  -</w:t>
            </w:r>
          </w:p>
        </w:tc>
        <w:tc>
          <w:tcPr>
            <w:tcW w:w="300" w:type="pct"/>
            <w:tcMar>
              <w:bottom w:w="0" w:type="dxa"/>
            </w:tcMar>
            <w:noWrap/>
          </w:tcPr>
          <w:p>
            <w:pPr/>
          </w:p>
        </w:tc>
        <w:tc>
          <w:tcPr>
            <w:tcW w:w="2350" w:type="pct"/>
            <w:tcMar>
              <w:bottom w:w="0" w:type="dxa"/>
            </w:tcMar>
            <w:noWrap/>
          </w:tcPr>
          <w:p>
            <w:pPr/>
            <w:r>
              <w:rPr>
                <w:b w:val="1"/>
                <w:bCs w:val="1"/>
              </w:rPr>
              <w:t xml:space="preserve">Suzannah Lyons</w:t>
            </w:r>
            <w:r>
              <w:rPr/>
              <w:t xml:space="preserve"> - Senior Commissioning Editor, 360info -  -</w:t>
            </w:r>
          </w:p>
        </w:tc>
      </w:tr>
    </w:tbl>
    <w:p/>
    <w:p>
      <w:pPr/>
      <w:r>
        <w:rPr/>
        <w:t xml:space="preserve">Australia seharusnya menyebut krisis biaya hidup ini dengan nama yang sebenarnya — kesenjangan kekayaan yang dapat diatasi dengan penghasilan dasar universal dan reformasi pajak yang sesungguhnya.</w:t>
      </w:r>
    </w:p>
    <w:p>
      <w:pPr/>
      <w:br/>
      <w:r>
        <w:rPr/>
        <w:t xml:space="preserve">`</w:t>
      </w:r>
    </w:p>
    <w:p>
      <w:pPr/>
      <w:r>
        <w:rPr/>
        <w:t xml:space="preserve">Para pemimpin politik Australia baru saja menghabiskan berbulan-bulan menjanjikan miliaran dolar untuk membantu negara mengatasi apa yang umumnya disebut sebagai </w:t>
      </w:r>
      <w:hyperlink r:id="rId8" w:history="1">
        <w:r>
          <w:rPr/>
          <w:t xml:space="preserve">krisis biaya hidup</w:t>
        </w:r>
      </w:hyperlink>
      <w:r>
        <w:rPr/>
        <w:t xml:space="preserve">.</w:t>
      </w:r>
    </w:p>
    <w:p>
      <w:pPr/>
      <w:r>
        <w:rPr/>
        <w:t xml:space="preserve">Namun, sedikit yang mengakui bahwa istilah krisis biaya hidup sebenarnya merujuk pada ketidaksetaraan kekayaan, konsekuensi tak terhindarkan dari sistem kapitalis yang semakin memburuk setiap tahun.</w:t>
      </w:r>
    </w:p>
    <w:p>
      <w:pPr/>
      <w:r>
        <w:rPr/>
        <w:t xml:space="preserve">Sederhananya, orang kaya semakin kaya, sementara kesenjangan dengan mayoritas yang tidak menikmati kekayaan tersebut semakin lebar.</w:t>
      </w:r>
    </w:p>
    <w:p>
      <w:pPr/>
      <w:r>
        <w:rPr/>
        <w:t xml:space="preserve">Membiarkan ketidakadilan itu terus berlanjut dan berkembang hanya akan mengarah pada keruntuhan masyarakat, terutama yang menghadapi transformasi radikal dalam arti bekerja </w:t>
      </w:r>
      <w:hyperlink r:id="rId9" w:history="1">
        <w:r>
          <w:rPr/>
          <w:t xml:space="preserve">seiring teknologi mengambil alih pekerjaan</w:t>
        </w:r>
      </w:hyperlink>
      <w:r>
        <w:rPr/>
        <w:t xml:space="preserve">.</w:t>
      </w:r>
    </w:p>
    <w:p>
      <w:pPr/>
      <w:r>
        <w:rPr/>
        <w:t xml:space="preserve">Ada cara yang lebih baik ke depan dan telah terbukti berhasil.</w:t>
      </w:r>
    </w:p>
    <w:p>
      <w:pPr/>
      <w:r>
        <w:rPr/>
        <w:t xml:space="preserve">Sebuah konsep yang relatif lama — </w:t>
      </w:r>
      <w:hyperlink r:id="rId10" w:history="1">
        <w:r>
          <w:rPr/>
          <w:t xml:space="preserve">pendapatan dasar universal</w:t>
        </w:r>
      </w:hyperlink>
      <w:r>
        <w:rPr/>
        <w:t xml:space="preserve"> — belum diterapkan secara nasional, tetapi berbagai uji coba dan eksperimen telah berhasil dilakukan di banyak negara, semua menunjukkan bahwa konsep ini secara signifikan dapat mengurangi ketidakpastian ekonomi, kemiskinan, dan ketidaksetaraan.</w:t>
      </w:r>
    </w:p>
    <w:p>
      <w:pPr/>
      <w:r>
        <w:rPr/>
        <w:t xml:space="preserve">Ini bisa menjadi solusi untuk krisis biaya hidup dan banyak hal lainnya.</w:t>
      </w:r>
    </w:p>
    <w:p>
      <w:pPr/>
      <w:r>
        <w:rPr/>
        <w:t xml:space="preserve">Sebagian besar pendukung mengusulkan pendapatan dasar yang memastikan standar hidup yang layak di atas garis kemiskinan — biasanya 50 persen dari pendapatan median.</w:t>
      </w:r>
    </w:p>
    <w:p>
      <w:pPr/>
      <w:r>
        <w:rPr/>
        <w:t xml:space="preserve">Di Australia saat ini, 50 persen dari </w:t>
      </w:r>
      <w:hyperlink r:id="rId11" w:history="1">
        <w:r>
          <w:rPr/>
          <w:t xml:space="preserve">pendapatan mingguan median</w:t>
        </w:r>
      </w:hyperlink>
      <w:r>
        <w:rPr/>
        <w:t xml:space="preserve"> akan sekitar $549,00 per minggu setelah pajak untuk individu.</w:t>
      </w:r>
    </w:p>
    <w:p>
      <w:pPr/>
      <w:r>
        <w:rPr/>
        <w:t xml:space="preserve">Hal ini juga akan memerlukan reformasi perpajakan besar-besaran yang mencakup memastikan perusahaan multinasional — beberapa di antaranya hampir tidak membayar pajak — membayar bagian yang adil.</w:t>
      </w:r>
    </w:p>
    <w:p>
      <w:pPr>
        <w:pStyle w:val="Heading5"/>
      </w:pPr>
      <w:r>
        <w:rPr/>
        <w:t xml:space="preserve">Apa itu?</w:t>
      </w:r>
    </w:p>
    <w:p>
      <w:pPr>
        <w:pStyle w:val="Heading5"/>
      </w:pPr>
      <w:r>
        <w:rPr/>
        <w:t xml:space="preserve">Pendapatan dasar universal adalah pembayaran rutin dan tanpa syarat yang diberikan oleh pemerintah kepada setiap warga negara, tanpa memandang pendapatan, status pekerjaan, atau kekayaan.</w:t>
      </w:r>
    </w:p>
    <w:p>
      <w:pPr>
        <w:pStyle w:val="Heading5"/>
      </w:pPr>
      <w:r>
        <w:rPr/>
        <w:t xml:space="preserve">Tujuannya adalah untuk mengurangi kemiskinan dengan memastikan </w:t>
      </w:r>
      <w:hyperlink r:id="rId12" w:history="1">
        <w:r>
          <w:rPr/>
          <w:t xml:space="preserve">tingkat keamanan finansial minimum</w:t>
        </w:r>
      </w:hyperlink>
      <w:r>
        <w:rPr/>
        <w:t xml:space="preserve"> bagi semua orang dan menciptakan masyarakat yang lebih adil. Pada saat yang sama, hal ini akan memberikan orang kebebasan yang lebih besar untuk mengejar pendidikan, perawatan, kewirausahaan, dan pekerjaan non-tradisional lainnya.</w:t>
      </w:r>
    </w:p>
    <w:p>
      <w:pPr>
        <w:pStyle w:val="Heading5"/>
      </w:pPr>
      <w:r>
        <w:rPr/>
        <w:t xml:space="preserve">Konsep pendapatan dasar universal telah ada sejak berabad-abad yang lalu. Asalnya dapat ditelusuri hingga santo Katolik abad ke-16, Thomas Moore, dan para pendukungnya termasuk revolusioner Amerika dan Prancis, Thomas Paine, serta pendiri aliran Liberal, John Stuart Mill.</w:t>
      </w:r>
    </w:p>
    <w:p>
      <w:pPr>
        <w:pStyle w:val="Heading5"/>
      </w:pPr>
      <w:r>
        <w:rPr/>
        <w:t xml:space="preserve">Pada abad ke-20, ekonom Amerika </w:t>
      </w:r>
      <w:hyperlink r:id="rId13" w:history="1">
        <w:r>
          <w:rPr/>
          <w:t xml:space="preserve">Milton Friedman secara efektif mengkampanyekan gagasan ini melalui usulan pajak penghasilan negatifnya</w:t>
        </w:r>
      </w:hyperlink>
      <w:r>
        <w:rPr/>
        <w:t xml:space="preserve"> pada tahun 1960-an, sementara </w:t>
      </w:r>
      <w:hyperlink r:id="rId14" w:history="1">
        <w:r>
          <w:rPr/>
          <w:t xml:space="preserve">Martin Luther King Jr. juga mengadvokasi pendapatan yang dijamin</w:t>
        </w:r>
      </w:hyperlink>
      <w:r>
        <w:rPr/>
        <w:t xml:space="preserve">. Bahkan Presiden AS </w:t>
      </w:r>
      <w:hyperlink r:id="rId15" w:history="1">
        <w:r>
          <w:rPr/>
          <w:t xml:space="preserve">Richard Nixon melakukan eksperimen dengan pendapatan dasar universal</w:t>
        </w:r>
      </w:hyperlink>
      <w:r>
        <w:rPr/>
        <w:t xml:space="preserve"> pada tahun 1970-an.</w:t>
      </w:r>
    </w:p>
    <w:p>
      <w:pPr>
        <w:pStyle w:val="Heading5"/>
      </w:pPr>
      <w:r>
        <w:rPr/>
        <w:t xml:space="preserve">Potensi yang semakin meningkat bagi pekerjaan yang saat ini dilakukan oleh pekerja manusia </w:t>
      </w:r>
      <w:hyperlink r:id="rId9" w:history="1">
        <w:r>
          <w:rPr/>
          <w:t xml:space="preserve">untuk diambil alih oleh mesin</w:t>
        </w:r>
      </w:hyperlink>
      <w:r>
        <w:rPr/>
        <w:t xml:space="preserve"> — yang menyebabkan pengangguran massal seperti yang didefinisikan saat ini — telah memicu minat baru terhadap gagasan pendapatan dasar universal.</w:t>
      </w:r>
    </w:p>
    <w:p>
      <w:pPr>
        <w:pStyle w:val="Heading5"/>
      </w:pPr>
      <w:r>
        <w:rPr/>
        <w:t xml:space="preserve">Hal ini tidak disukai oleh sebagian orang yang berargumen bahwa hal itu dapat menjadi </w:t>
      </w:r>
      <w:hyperlink r:id="rId16" w:history="1">
        <w:r>
          <w:rPr/>
          <w:t xml:space="preserve">penghambat untuk bekerja</w:t>
        </w:r>
      </w:hyperlink>
      <w:r>
        <w:rPr/>
        <w:t xml:space="preserve"> dan terlalu mahal untuk memberikan </w:t>
      </w:r>
      <w:hyperlink r:id="rId17" w:history="1">
        <w:r>
          <w:rPr/>
          <w:t xml:space="preserve">dukungan finansial</w:t>
        </w:r>
      </w:hyperlink>
      <w:r>
        <w:rPr/>
        <w:t xml:space="preserve"> kepada orang-orang yang tidak atau tidak dapat membalasnya dan dianggap tidak layak.</w:t>
      </w:r>
    </w:p>
    <w:p>
      <w:pPr>
        <w:pStyle w:val="Heading5"/>
      </w:pPr>
      <w:r>
        <w:rPr/>
        <w:t xml:space="preserve">Namun, </w:t>
      </w:r>
      <w:hyperlink r:id="rId18" w:history="1">
        <w:r>
          <w:rPr/>
          <w:t xml:space="preserve">tidak</w:t>
        </w:r>
      </w:hyperlink>
      <w:r>
        <w:rPr/>
        <w:t xml:space="preserve"> ada </w:t>
      </w:r>
      <w:hyperlink r:id="rId18" w:history="1">
        <w:r>
          <w:rPr/>
          <w:t xml:space="preserve">bukti</w:t>
        </w:r>
      </w:hyperlink>
      <w:r>
        <w:rPr/>
        <w:t xml:space="preserve"> yang mendukung </w:t>
      </w:r>
      <w:hyperlink r:id="rId19" w:history="1">
        <w:r>
          <w:rPr/>
          <w:t xml:space="preserve">klaim-klaim</w:t>
        </w:r>
      </w:hyperlink>
      <w:r>
        <w:rPr/>
        <w:t xml:space="preserve"> tersebut.</w:t>
      </w:r>
    </w:p>
    <w:p>
      <w:pPr>
        <w:pStyle w:val="Heading5"/>
      </w:pPr>
      <w:r>
        <w:rPr/>
        <w:t xml:space="preserve">Orang-orang tetap akan menginginkan lebih banyak barang material dan gaya hidup yang lebih baik daripada yang dapat dipenuhi oleh pendapatan dasar.</w:t>
      </w:r>
    </w:p>
    <w:p>
      <w:pPr>
        <w:pStyle w:val="Heading5"/>
      </w:pPr>
      <w:r>
        <w:rPr/>
        <w:t xml:space="preserve">Mereka tetap akan memilih bekerja untuk mewujudkan aspirasi mereka. Sebuah </w:t>
      </w:r>
      <w:hyperlink r:id="rId20" w:history="1">
        <w:r>
          <w:rPr/>
          <w:t xml:space="preserve">uji coba di Finlandia</w:t>
        </w:r>
      </w:hyperlink>
      <w:r>
        <w:rPr/>
        <w:t xml:space="preserve"> pada tahun 2016 juga mengonfirmasi hal ini, serta menunjukkan bahwa kelompok pengangguran yang menerima pembayaran tersebut melaporkan tingkat stres yang jauh lebih rendah dan kesehatan yang lebih baik.</w:t>
      </w:r>
    </w:p>
    <w:p>
      <w:pPr>
        <w:pStyle w:val="Heading5"/>
      </w:pPr>
      <w:r>
        <w:rPr/>
        <w:t xml:space="preserve">Menghadapi biaya</w:t>
      </w:r>
    </w:p>
    <w:p>
      <w:pPr>
        <w:pStyle w:val="Heading5"/>
      </w:pPr>
      <w:r>
        <w:rPr/>
        <w:t xml:space="preserve">Membiayai pendapatan dasar universal akan memerlukan reformasi pajak yang substansial — dan keberanian politik — termasuk pajak kekayaan, terutama pada perusahaan yang saat ini tidak membayar porsi pajak mereka.</w:t>
      </w:r>
    </w:p>
    <w:p>
      <w:pPr>
        <w:pStyle w:val="Heading5"/>
      </w:pPr>
      <w:r>
        <w:rPr/>
        <w:t xml:space="preserve">Tiga puluh satu persen perusahaan multinasional hampir </w:t>
      </w:r>
      <w:hyperlink r:id="rId21" w:history="1">
        <w:r>
          <w:rPr/>
          <w:t xml:space="preserve">tidak</w:t>
        </w:r>
      </w:hyperlink>
      <w:r>
        <w:rPr/>
        <w:t xml:space="preserve"> membayar </w:t>
      </w:r>
      <w:hyperlink r:id="rId21" w:history="1">
        <w:r>
          <w:rPr/>
          <w:t xml:space="preserve">pajak</w:t>
        </w:r>
      </w:hyperlink>
      <w:r>
        <w:rPr/>
        <w:t xml:space="preserve"> di Australia pada tahun 2022-23 meskipun mereka memiliki </w:t>
      </w:r>
      <w:hyperlink r:id="rId22" w:history="1">
        <w:r>
          <w:rPr/>
          <w:t xml:space="preserve">pendapatan yang besar</w:t>
        </w:r>
      </w:hyperlink>
      <w:r>
        <w:rPr/>
        <w:t xml:space="preserve">.</w:t>
      </w:r>
    </w:p>
    <w:p>
      <w:pPr>
        <w:pStyle w:val="Heading5"/>
      </w:pPr>
      <w:r>
        <w:rPr/>
        <w:t xml:space="preserve">Jika perusahaan-perusahaan seperti ini dikenakan pajak dengan tarif yang sama dengan individu yang berpenghasilan lebih dari $180.000 — secara efektif tarif pajak marginal 45 persen — potensi penerimaan pajak dari perusahaan-perusahaan ini saja sudah cukup untuk membiayai </w:t>
      </w:r>
      <w:hyperlink r:id="rId23" w:history="1">
        <w:r>
          <w:rPr/>
          <w:t xml:space="preserve">pendapatan dasar universal secara</w:t>
        </w:r>
      </w:hyperlink>
      <w:r>
        <w:rPr/>
        <w:t xml:space="preserve"> </w:t>
      </w:r>
      <w:hyperlink r:id="rId23" w:history="1">
        <w:r>
          <w:rPr/>
          <w:t xml:space="preserve">penuh</w:t>
        </w:r>
      </w:hyperlink>
      <w:r>
        <w:rPr/>
        <w:t xml:space="preserve">.</w:t>
      </w:r>
    </w:p>
    <w:p>
      <w:pPr>
        <w:pStyle w:val="Heading5"/>
      </w:pPr>
      <w:r>
        <w:rPr/>
        <w:t xml:space="preserve">Di Norwegia, perusahaan pertambangan dikenakan pajak sebesar 78 persen. </w:t>
      </w:r>
      <w:hyperlink r:id="rId24" w:history="1">
        <w:r>
          <w:rPr/>
          <w:t xml:space="preserve">Perusahaan-perusahaan</w:t>
        </w:r>
      </w:hyperlink>
      <w:r>
        <w:rPr/>
        <w:t xml:space="preserve"> tersebut tetap menghasilkan miliaran dolar keuntungan, tetapi setiap warga negara secara teknis menjadi jutawan berkat </w:t>
      </w:r>
      <w:hyperlink r:id="rId25" w:history="1">
        <w:r>
          <w:rPr/>
          <w:t xml:space="preserve">dana kekayaan negara </w:t>
        </w:r>
      </w:hyperlink>
      <w:r>
        <w:rPr/>
        <w:t xml:space="preserve">(</w:t>
      </w:r>
      <w:hyperlink r:id="rId25" w:history="1">
        <w:r>
          <w:rPr/>
          <w:t xml:space="preserve">sovereign wealth fund</w:t>
        </w:r>
      </w:hyperlink>
      <w:r>
        <w:rPr/>
        <w:t xml:space="preserve">) yang menyediakan layanan sosial seperti perawatan kesehatan gratis, pendidikan, dan jaminan sosial.</w:t>
      </w:r>
    </w:p>
    <w:p>
      <w:pPr>
        <w:pStyle w:val="Heading5"/>
      </w:pPr>
      <w:r>
        <w:rPr/>
        <w:t xml:space="preserve">Di Australia, Medicare dan tunjangan pensiun bagi lansia pernah dikritik sebagai tidak terjangkau, tetapi kini menjadi bagian fundamental dari struktur sosial kita.</w:t>
      </w:r>
    </w:p>
    <w:p>
      <w:pPr>
        <w:pStyle w:val="Heading5"/>
      </w:pPr>
      <w:r>
        <w:rPr/>
        <w:t xml:space="preserve">Contoh-contoh ini menunjukkan kelayakan implementasi langkah-langkah sosial ambisius, </w:t>
      </w:r>
      <w:hyperlink r:id="rId26" w:history="1">
        <w:r>
          <w:rPr/>
          <w:t xml:space="preserve">seperti pendapatan dasar</w:t>
        </w:r>
      </w:hyperlink>
      <w:r>
        <w:rPr/>
        <w:t xml:space="preserve">, yang secara signifikan mengatasi ketidaksetaraan yang meluas.</w:t>
      </w:r>
    </w:p>
    <w:p>
      <w:pPr>
        <w:pStyle w:val="Heading5"/>
      </w:pPr>
      <w:r>
        <w:rPr/>
        <w:t xml:space="preserve">Kritik terhadap pendapatan universal mengabaikan banyak cara di mana orang berkontribusi pada masyarakat secara sukarela dan seringkali tidak diakui.</w:t>
      </w:r>
    </w:p>
    <w:p>
      <w:pPr>
        <w:pStyle w:val="Heading5"/>
      </w:pPr>
      <w:r>
        <w:rPr/>
        <w:t xml:space="preserve">Ada juga manfaat yang lebih luas dari masyarakat yang lebih adil. Negara-negara yang lebih </w:t>
      </w:r>
      <w:hyperlink r:id="rId27" w:history="1">
        <w:r>
          <w:rPr/>
          <w:t xml:space="preserve">adil</w:t>
        </w:r>
      </w:hyperlink>
      <w:r>
        <w:rPr/>
        <w:t xml:space="preserve"> telah terbukti memiliki </w:t>
      </w:r>
      <w:hyperlink r:id="rId28" w:history="1">
        <w:r>
          <w:rPr/>
          <w:t xml:space="preserve">tingkat</w:t>
        </w:r>
      </w:hyperlink>
      <w:r>
        <w:rPr/>
        <w:t xml:space="preserve"> gangguan mental, bunuh diri, kekerasan terhadap anak, kekerasan dalam rumah tangga, dan kejahatan lainnya yang </w:t>
      </w:r>
      <w:hyperlink r:id="rId28" w:history="1">
        <w:r>
          <w:rPr/>
          <w:t xml:space="preserve">lebih rendah</w:t>
        </w:r>
      </w:hyperlink>
      <w:r>
        <w:rPr/>
        <w:t xml:space="preserve">.</w:t>
      </w:r>
    </w:p>
    <w:p>
      <w:pPr>
        <w:pStyle w:val="Heading5"/>
      </w:pPr>
      <w:hyperlink r:id="rId27" w:history="1">
        <w:r>
          <w:rPr/>
          <w:t xml:space="preserve">Monopoli sumber daya</w:t>
        </w:r>
      </w:hyperlink>
      <w:r>
        <w:rPr/>
        <w:t xml:space="preserve"> oleh elit kaya — di mana 1 persen terkaya memiliki </w:t>
      </w:r>
      <w:hyperlink r:id="rId29" w:history="1">
        <w:r>
          <w:rPr/>
          <w:t xml:space="preserve">kekayaan</w:t>
        </w:r>
      </w:hyperlink>
      <w:r>
        <w:rPr/>
        <w:t xml:space="preserve"> lebih dari </w:t>
      </w:r>
      <w:hyperlink r:id="rId29" w:history="1">
        <w:r>
          <w:rPr/>
          <w:t xml:space="preserve">dua kali lipat</w:t>
        </w:r>
      </w:hyperlink>
      <w:r>
        <w:rPr/>
        <w:t xml:space="preserve"> dibandingkan lebih dari 85 persen populasi global — tidak </w:t>
      </w:r>
      <w:hyperlink r:id="rId30" w:history="1">
        <w:r>
          <w:rPr/>
          <w:t xml:space="preserve">berkelanjutan</w:t>
        </w:r>
      </w:hyperlink>
      <w:r>
        <w:rPr/>
        <w:t xml:space="preserve">.</w:t>
      </w:r>
    </w:p>
    <w:p>
      <w:pPr>
        <w:pStyle w:val="Heading5"/>
      </w:pPr>
      <w:r>
        <w:rPr/>
        <w:t xml:space="preserve">Di Australia, </w:t>
      </w:r>
      <w:hyperlink r:id="rId31" w:history="1">
        <w:r>
          <w:rPr/>
          <w:t xml:space="preserve">10 persen teratas penghasilan</w:t>
        </w:r>
      </w:hyperlink>
      <w:r>
        <w:rPr/>
        <w:t xml:space="preserve"> memiliki pendapatan mingguan rata-rata setelah pajak tujuh kali lipat lebih tinggi daripada 20 persen terbawah, dan </w:t>
      </w:r>
      <w:hyperlink r:id="rId31" w:history="1">
        <w:r>
          <w:rPr/>
          <w:t xml:space="preserve">10 persen teratas rumah tangga</w:t>
        </w:r>
      </w:hyperlink>
      <w:r>
        <w:rPr/>
        <w:t xml:space="preserve"> kini menguasai 44 persen total kekayaan.</w:t>
      </w:r>
    </w:p>
    <w:p>
      <w:pPr>
        <w:pStyle w:val="Heading5"/>
      </w:pPr>
      <w:r>
        <w:rPr/>
        <w:t xml:space="preserve">Dan semua itu terjadi sementara setidaknya 3,3 juta orang hidup di bawah </w:t>
      </w:r>
      <w:hyperlink r:id="rId32" w:history="1">
        <w:r>
          <w:rPr/>
          <w:t xml:space="preserve">garis</w:t>
        </w:r>
      </w:hyperlink>
      <w:r>
        <w:rPr/>
        <w:t xml:space="preserve"> </w:t>
      </w:r>
      <w:hyperlink r:id="rId32" w:history="1">
        <w:r>
          <w:rPr/>
          <w:t xml:space="preserve">kemiskinan</w:t>
        </w:r>
      </w:hyperlink>
      <w:r>
        <w:rPr/>
        <w:t xml:space="preserve"> — termasuk 761.000 anak-anak.</w:t>
      </w:r>
    </w:p>
    <w:p>
      <w:pPr>
        <w:pStyle w:val="Heading5"/>
      </w:pPr>
      <w:r>
        <w:rPr/>
        <w:t xml:space="preserve">Manfaat</w:t>
      </w:r>
    </w:p>
    <w:p>
      <w:pPr>
        <w:pStyle w:val="Heading5"/>
      </w:pPr>
      <w:r>
        <w:rPr/>
        <w:t xml:space="preserve">Pendapatan dasar universal merupakan fondasi penting bagi </w:t>
      </w:r>
      <w:hyperlink r:id="rId33" w:history="1">
        <w:r>
          <w:rPr/>
          <w:t xml:space="preserve">masyarakat</w:t>
        </w:r>
      </w:hyperlink>
      <w:r>
        <w:rPr/>
        <w:t xml:space="preserve"> demokratis dan </w:t>
      </w:r>
      <w:hyperlink r:id="rId33" w:history="1">
        <w:r>
          <w:rPr/>
          <w:t xml:space="preserve">egaliter</w:t>
        </w:r>
      </w:hyperlink>
      <w:r>
        <w:rPr/>
        <w:t xml:space="preserve">.</w:t>
      </w:r>
    </w:p>
    <w:p>
      <w:pPr>
        <w:pStyle w:val="Heading5"/>
      </w:pPr>
      <w:r>
        <w:rPr/>
        <w:t xml:space="preserve">Skema pendapatan semacam ini telah terbukti mengurangi </w:t>
      </w:r>
      <w:hyperlink r:id="rId34" w:history="1">
        <w:r>
          <w:rPr/>
          <w:t xml:space="preserve">ketidaksetaraan kesehatan</w:t>
        </w:r>
      </w:hyperlink>
      <w:r>
        <w:rPr/>
        <w:t xml:space="preserve"> dan secara langsung meningkatkan </w:t>
      </w:r>
      <w:hyperlink r:id="rId35" w:history="1">
        <w:r>
          <w:rPr/>
          <w:t xml:space="preserve">hasil</w:t>
        </w:r>
      </w:hyperlink>
      <w:r>
        <w:rPr/>
        <w:t xml:space="preserve"> kesehatan fisik dan mental. Skema ini juga akan membantu perempuan yang terjebak dalam situasi kekerasan dalam rumah tangga dan tidak dapat meninggalkan situasi tersebut karena kurangnya dukungan finansial.</w:t>
      </w:r>
    </w:p>
    <w:p>
      <w:pPr>
        <w:pStyle w:val="Heading5"/>
      </w:pPr>
      <w:r>
        <w:rPr/>
        <w:t xml:space="preserve">Dampak dramatis teknologi terhadap lapangan kerja telah memicu uji coba pendapatan dasar yang sukses di beberapa bagian Spanyol, Namibia, Kanada, Finlandia, Kenya, India, Uganda, dan Swiss.</w:t>
      </w:r>
    </w:p>
    <w:p>
      <w:pPr>
        <w:pStyle w:val="Heading5"/>
      </w:pPr>
      <w:r>
        <w:rPr/>
        <w:t xml:space="preserve">Australia telah melihat versi sementara dari program ini.</w:t>
      </w:r>
    </w:p>
    <w:p>
      <w:pPr>
        <w:pStyle w:val="Heading5"/>
      </w:pPr>
      <w:r>
        <w:rPr/>
        <w:t xml:space="preserve">Tanggapan awal pemerintah Morrison terhadap pandemi termasuk dukungan pendapatan melalui skema </w:t>
      </w:r>
      <w:hyperlink r:id="rId36" w:history="1">
        <w:r>
          <w:rPr/>
          <w:t xml:space="preserve">JobSeeker</w:t>
        </w:r>
      </w:hyperlink>
      <w:r>
        <w:rPr/>
        <w:t xml:space="preserve">, yang menggandakan pembayaran bagi pengangguran, dan </w:t>
      </w:r>
      <w:hyperlink r:id="rId37" w:history="1">
        <w:r>
          <w:rPr/>
          <w:t xml:space="preserve">JobKeeper</w:t>
        </w:r>
      </w:hyperlink>
      <w:r>
        <w:rPr/>
        <w:t xml:space="preserve">, yang </w:t>
      </w:r>
      <w:hyperlink r:id="rId38" w:history="1">
        <w:r>
          <w:rPr/>
          <w:t xml:space="preserve">secara efektif memberikan pendapatan dasar bagi pekerja kontrak, menjaga mereka di atas garis kemiskinan selama enam bulan pada tahun 2020</w:t>
        </w:r>
      </w:hyperlink>
      <w:r>
        <w:rPr/>
        <w:t xml:space="preserve">.</w:t>
      </w:r>
    </w:p>
    <w:p>
      <w:pPr>
        <w:pStyle w:val="Heading5"/>
      </w:pPr>
      <w:r>
        <w:rPr/>
        <w:t xml:space="preserve">Pendapatan dasar universal berpotensi secara permanen mengurangi ketidaksetaraan dan kemiskinan hingga tingkat </w:t>
      </w:r>
      <w:hyperlink r:id="rId39" w:history="1">
        <w:r>
          <w:rPr/>
          <w:t xml:space="preserve">negara kesejahteraan Nordik</w:t>
        </w:r>
      </w:hyperlink>
      <w:r>
        <w:rPr/>
        <w:t xml:space="preserve">, yang rata-rata </w:t>
      </w:r>
      <w:hyperlink r:id="rId40" w:history="1">
        <w:r>
          <w:rPr/>
          <w:t xml:space="preserve">sekitar setengah</w:t>
        </w:r>
      </w:hyperlink>
      <w:r>
        <w:rPr/>
        <w:t xml:space="preserve"> dari tingkat Australia.</w:t>
      </w:r>
    </w:p>
    <w:p>
      <w:pPr>
        <w:pStyle w:val="Heading5"/>
      </w:pPr>
      <w:r>
        <w:rPr/>
        <w:t xml:space="preserve">Hal ini akan memerlukan kenaikan pajak yang signifikan, terutama bagi perusahaan multinasional besar, tetapi hanya akan menaikkan tarif pajak Australia hingga rata-rata pajak OECD.</w:t>
      </w:r>
    </w:p>
    <w:p>
      <w:pPr>
        <w:pStyle w:val="Heading5"/>
      </w:pPr>
      <w:hyperlink r:id="rId12" w:history="1">
        <w:r>
          <w:rPr/>
          <w:t xml:space="preserve">Kombinasi pajak</w:t>
        </w:r>
      </w:hyperlink>
      <w:r>
        <w:rPr/>
        <w:t xml:space="preserve"> atas kekayaan berbasis aset, seperti nilai tanah, saham korporasi, sumber daya pertambangan, dan pajak transaksi, juga dapat dipertimbangkan. Pendapatan dari pajak tersebut dapat dikelola melalui </w:t>
      </w:r>
      <w:hyperlink r:id="rId19" w:history="1">
        <w:r>
          <w:rPr/>
          <w:t xml:space="preserve">dana kekayaan negara</w:t>
        </w:r>
      </w:hyperlink>
      <w:r>
        <w:rPr/>
        <w:t xml:space="preserve">.</w:t>
      </w:r>
    </w:p>
    <w:p>
      <w:pPr>
        <w:pStyle w:val="Heading5"/>
      </w:pPr>
      <w:r>
        <w:rPr/>
        <w:t xml:space="preserve">Pemerintah Albanese telah </w:t>
      </w:r>
      <w:hyperlink r:id="rId41" w:history="1">
        <w:r>
          <w:rPr/>
          <w:t xml:space="preserve">merevisi pemotongan pajak</w:t>
        </w:r>
      </w:hyperlink>
      <w:r>
        <w:rPr/>
        <w:t xml:space="preserve"> dan menawarkan lebih banyak, tetapi pemotongan pajak tidak akan mengatasi kemiskinan dan ketidaksetaraan atau memungkinkan pengenalan pendapatan dasar universal.</w:t>
      </w:r>
    </w:p>
    <w:p>
      <w:pPr>
        <w:pStyle w:val="Heading5"/>
      </w:pPr>
      <w:r>
        <w:rPr/>
        <w:t xml:space="preserve">Pemimpin politik Australia telah diperingatkan tentang tren ketidaksetaraan dan ketidakpastian pekerjaan oleh </w:t>
      </w:r>
      <w:hyperlink r:id="rId42" w:history="1">
        <w:r>
          <w:rPr/>
          <w:t xml:space="preserve">Komisi</w:t>
        </w:r>
      </w:hyperlink>
      <w:r>
        <w:rPr/>
        <w:t xml:space="preserve"> </w:t>
      </w:r>
      <w:hyperlink r:id="rId42" w:history="1">
        <w:r>
          <w:rPr/>
          <w:t xml:space="preserve">Produktivitas pada tahun 2016</w:t>
        </w:r>
      </w:hyperlink>
      <w:r>
        <w:rPr/>
        <w:t xml:space="preserve">, tetapi kedua partai politik utama hingga saat ini menolak penghasilan dasar universal dan tetap berpegang pada kebijakan pasar tenaga kerja tradisional dan kebijakan sosial. Kebijakan tersebut diadopsi oleh Partai Hijau pada tahun 2018.</w:t>
      </w:r>
    </w:p>
    <w:p>
      <w:pPr>
        <w:pStyle w:val="Heading5"/>
      </w:pPr>
      <w:r>
        <w:rPr/>
        <w:t xml:space="preserve">Pendapatan dasar universal adalah mungkin dan menyediakan cara untuk mengatasi biaya ketidaksetaraan. Pertanyaannya adalah apakah pergeseran ini terjadi melalui pilihan kebijakan etis atau kebutuhan mendesak sebagai upaya terakhir.</w:t>
      </w:r>
    </w:p>
    <w:p>
      <w:pPr>
        <w:pStyle w:val="Heading5"/>
      </w:pPr>
      <w:r>
        <w:rPr>
          <w:b w:val="1"/>
          <w:bCs w:val="1"/>
          <w:i w:val="1"/>
          <w:iCs w:val="1"/>
        </w:rPr>
        <w:t xml:space="preserve">Profesor Christine Morley</w:t>
      </w:r>
      <w:r>
        <w:rPr>
          <w:i w:val="1"/>
          <w:iCs w:val="1"/>
        </w:rPr>
        <w:t xml:space="preserve"> adalah Kepala Program Studi Pekerjaan Sosial dan Layanan Manusia di Sekolah Kesehatan Masyarakat dan Pekerjaan Sosial, Universitas Teknologi Queensland. Ia memiliki pengalaman luas sebagai peneliti pekerjaan sosial di berbagai bidang, termasuk kemiskinan dan ketidaksetaraan kekayaan.</w:t>
      </w:r>
    </w:p>
    <w:p>
      <w:pPr>
        <w:pStyle w:val="Heading5"/>
      </w:pPr>
      <w:r>
        <w:rPr>
          <w:b w:val="1"/>
          <w:bCs w:val="1"/>
          <w:i w:val="1"/>
          <w:iCs w:val="1"/>
        </w:rPr>
        <w:t xml:space="preserve">Dr Phillip Ablett</w:t>
      </w:r>
      <w:r>
        <w:rPr>
          <w:i w:val="1"/>
          <w:iCs w:val="1"/>
        </w:rPr>
        <w:t xml:space="preserve"> adalah dosen senior dalam bidang Pekerjaan Sosial dan Layanan Manusia di Queensland University of Technology. Ia tertarik untuk mempengaruhi secara positif pembentukan profesional dan warga negara yang kritis untuk menciptakan dunia yang lebih adil secara sosial, demokratis, dan berkelanjutan.</w:t>
      </w:r>
    </w:p>
    <w:p>
      <w:pPr>
        <w:pStyle w:val="Heading5"/>
      </w:pPr>
      <w:r>
        <w:rPr>
          <w:b w:val="1"/>
          <w:bCs w:val="1"/>
          <w:i w:val="1"/>
          <w:iCs w:val="1"/>
        </w:rPr>
        <w:t xml:space="preserve">Associate Professor Jenni Mays</w:t>
      </w:r>
      <w:r>
        <w:rPr>
          <w:i w:val="1"/>
          <w:iCs w:val="1"/>
        </w:rPr>
        <w:t xml:space="preserve"> bekerja di Sekolah Kesehatan Masyarakat dan Pekerjaan Sosial di Queensland University of Technology. Ia diakui sebagai ahli internasional dalam bidang pendapatan dasar dan kebijakan sosial.</w:t>
      </w:r>
    </w:p>
    <w:p>
      <w:pPr>
        <w:pStyle w:val="Heading5"/>
      </w:pPr>
      <w:r>
        <w:rPr>
          <w:i w:val="1"/>
          <w:iCs w:val="1"/>
        </w:rPr>
        <w:t xml:space="preserve">Diterbitkan pertama kali di bawah lisensi </w:t>
      </w:r>
      <w:hyperlink r:id="rId43" w:history="1">
        <w:r>
          <w:rPr>
            <w:i w:val="1"/>
            <w:iCs w:val="1"/>
          </w:rPr>
          <w:t xml:space="preserve">Creative Commons</w:t>
        </w:r>
      </w:hyperlink>
      <w:r>
        <w:rPr>
          <w:i w:val="1"/>
          <w:iCs w:val="1"/>
        </w:rPr>
        <w:t xml:space="preserve"> oleh </w:t>
      </w:r>
      <w:hyperlink r:id="rId4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5" w:history="1">
        <w:r>
          <w:rPr/>
          <w:t xml:space="preserve">pertama kali</w:t>
        </w:r>
      </w:hyperlink>
      <w:r>
        <w:rPr/>
        <w:t xml:space="preserve"> dipublikasikan tanggal 30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abc.net.au/news/2025-04-21/can-australia-still-afford-the-pub-coffees-and-friday-takeaway/105115938" TargetMode="External"/><Relationship Id="rId9" Type="http://schemas.openxmlformats.org/officeDocument/2006/relationships/hyperlink" Target="https://www.uc.pt/feuc/citcoimbra/Martin_Ford-Rise_of_the_Robots" TargetMode="External"/><Relationship Id="rId10" Type="http://schemas.openxmlformats.org/officeDocument/2006/relationships/hyperlink" Target="https://www.commonwealmagazine.org/free-banquet" TargetMode="External"/><Relationship Id="rId11" Type="http://schemas.openxmlformats.org/officeDocument/2006/relationships/hyperlink" Target="https://www.abs.gov.au/statistics/labour/earnings-and-working-conditions/employee-earnings/latest-release#weekly-earnings" TargetMode="External"/><Relationship Id="rId12" Type="http://schemas.openxmlformats.org/officeDocument/2006/relationships/hyperlink" Target="https://medium.com/basic-income/inequality-and-the-basic-income-guarantee-c8f84d936640" TargetMode="External"/><Relationship Id="rId13" Type="http://schemas.openxmlformats.org/officeDocument/2006/relationships/hyperlink" Target="https://www.youtube.com/watch?v=xtpgkX588nM" TargetMode="External"/><Relationship Id="rId14" Type="http://schemas.openxmlformats.org/officeDocument/2006/relationships/hyperlink" Target="https://www.youtube.com/watch?v=FT2jpgSZSO0" TargetMode="External"/><Relationship Id="rId15" Type="http://schemas.openxmlformats.org/officeDocument/2006/relationships/hyperlink" Target="https://thecorrespondent.com/4503/the-bizarre-tale-of-president-nixon-and-his-basic-income-bill/173117835-c34d6145" TargetMode="External"/><Relationship Id="rId16" Type="http://schemas.openxmlformats.org/officeDocument/2006/relationships/hyperlink" Target="https://rutgerspolicyjournal.org/2017/03/02/right-work-and-basic-income-guarantees-competing-or-complementary-goals/" TargetMode="External"/><Relationship Id="rId17" Type="http://schemas.openxmlformats.org/officeDocument/2006/relationships/hyperlink" Target="https://www.ejpe.org/journal/article/view/335" TargetMode="External"/><Relationship Id="rId18" Type="http://schemas.openxmlformats.org/officeDocument/2006/relationships/hyperlink" Target="https://scholarworks.wmich.edu/jssw/vol43/iss3/4/?utm_source=scholarworks.wmich.edu%2Fjssw%2Fvol43%2Fiss3%2F4&amp;utm_medium=PDF&amp;utm_campaign=PDFCoverPages" TargetMode="External"/><Relationship Id="rId19" Type="http://schemas.openxmlformats.org/officeDocument/2006/relationships/hyperlink" Target="https://socialalternatives.com/wp-content/uploads/2019/05/SocialAlternatives_38_2_SMALL.pdf" TargetMode="External"/><Relationship Id="rId20" Type="http://schemas.openxmlformats.org/officeDocument/2006/relationships/hyperlink" Target="https://www.newscientist.com/article/2193136-universal-income-study-finds-money-for-nothing-wont-make-us-work-less/" TargetMode="External"/><Relationship Id="rId21" Type="http://schemas.openxmlformats.org/officeDocument/2006/relationships/hyperlink" Target="https://theconversation.com/31-of-companies-are-not-paying-tax-in-australia-how-do-they-do-it-242695" TargetMode="External"/><Relationship Id="rId22" Type="http://schemas.openxmlformats.org/officeDocument/2006/relationships/hyperlink" Target="https://www.abc.net.au/news/2024-11-01/companies-that-paid-no-tax-in-2022-23-revealed-profit-shifting/104545520" TargetMode="External"/><Relationship Id="rId23" Type="http://schemas.openxmlformats.org/officeDocument/2006/relationships/hyperlink" Target="https://ideas.repec.org/a/cpp/issued/v43y2017i2p120-139.html" TargetMode="External"/><Relationship Id="rId24" Type="http://schemas.openxmlformats.org/officeDocument/2006/relationships/hyperlink" Target="https://australiainstitute.org.au/post/norway-shows-how-australia-can-get-a-fair-return-from-oil-and-gas/" TargetMode="External"/><Relationship Id="rId25" Type="http://schemas.openxmlformats.org/officeDocument/2006/relationships/hyperlink" Target="https://michaelwest.com.au/a-tale-of-two-fossil-superpowers-what-australia-can-learn-from-norway/#:~:text=The%20Norwegian%20government%20estimates%20that%20total%20revenue,well%20as%20dividends%20from%20state%20owned%20operators" TargetMode="External"/><Relationship Id="rId26" Type="http://schemas.openxmlformats.org/officeDocument/2006/relationships/hyperlink" Target="https://eprints.qut.edu.au/134270/" TargetMode="External"/><Relationship Id="rId27" Type="http://schemas.openxmlformats.org/officeDocument/2006/relationships/hyperlink" Target="https://www.sciencedirect.com/science/article/abs/pii/S0033350621003449?via%3Dihub" TargetMode="External"/><Relationship Id="rId28" Type="http://schemas.openxmlformats.org/officeDocument/2006/relationships/hyperlink" Target="https://scholar.google.com/scholar_lookup?hl=en&amp;publication_year=2009&amp;author=R.+Wilkinson&amp;author=K.+Pickett&amp;title=The+Spirit+Level%3A+Why+more+equal+societies+almost+always+do+better" TargetMode="External"/><Relationship Id="rId29" Type="http://schemas.openxmlformats.org/officeDocument/2006/relationships/hyperlink" Target="https://oxfamilibrary.openrepository.com/bitstream/handle/10546/621341/bp-inequality-kills-170122-en.pdf" TargetMode="External"/><Relationship Id="rId30" Type="http://schemas.openxmlformats.org/officeDocument/2006/relationships/hyperlink" Target="https://www.imf.org/external/pubs/ft/sdn/2015/sdn1513.pdf" TargetMode="External"/><Relationship Id="rId31" Type="http://schemas.openxmlformats.org/officeDocument/2006/relationships/hyperlink" Target="https://povertyandinequality.acoss.org.au/wp-content/uploads/2024/04/Inequality-Report-2024_who-is-affected-and-how.pdf" TargetMode="External"/><Relationship Id="rId32" Type="http://schemas.openxmlformats.org/officeDocument/2006/relationships/hyperlink" Target="https://povertyandinequality.acoss.org.au/poverty/" TargetMode="External"/><Relationship Id="rId33" Type="http://schemas.openxmlformats.org/officeDocument/2006/relationships/hyperlink" Target="https://www.researchgate.net/publication/374878690_Social_Effects_of_Basic_Income" TargetMode="External"/><Relationship Id="rId34" Type="http://schemas.openxmlformats.org/officeDocument/2006/relationships/hyperlink" Target="https://doi.org/10.1093/pubmed/fdx006" TargetMode="External"/><Relationship Id="rId35" Type="http://schemas.openxmlformats.org/officeDocument/2006/relationships/hyperlink" Target="https://doi.org/10.1016/J.SOCSCIMED.2021.114374" TargetMode="External"/><Relationship Id="rId36" Type="http://schemas.openxmlformats.org/officeDocument/2006/relationships/hyperlink" Target="https://www.pbo.gov.au/about-budgets/budget-insights/budget-bites/jobseeker-payment-covid-19-age-gender" TargetMode="External"/><Relationship Id="rId37" Type="http://schemas.openxmlformats.org/officeDocument/2006/relationships/hyperlink" Target="https://www.servicesaustralia.gov.au/jobkeeper-payment-during-coronavirus-covid-19?context=60059" TargetMode="External"/><Relationship Id="rId38" Type="http://schemas.openxmlformats.org/officeDocument/2006/relationships/hyperlink" Target="https://research-management.mq.edu.au/ws/portalfiles/portal/415922260/Publisher_version.pdf" TargetMode="External"/><Relationship Id="rId39" Type="http://schemas.openxmlformats.org/officeDocument/2006/relationships/hyperlink" Target="https://doi.org/10.1177/1035304620964272" TargetMode="External"/><Relationship Id="rId40" Type="http://schemas.openxmlformats.org/officeDocument/2006/relationships/hyperlink" Target="https://povertyandinequality.acoss.org.au/poverty/poverty-rates-in-oecd-countries/" TargetMode="External"/><Relationship Id="rId41" Type="http://schemas.openxmlformats.org/officeDocument/2006/relationships/hyperlink" Target="https://www.pm.gov.au/media/albanese-governments-cost-living-tax-cuts-roll-out-july-1" TargetMode="External"/><Relationship Id="rId42" Type="http://schemas.openxmlformats.org/officeDocument/2006/relationships/hyperlink" Target="https://www.pc.gov.au/research/completed/digital-disruption/digital-disruption-research-paper.pdf" TargetMode="External"/><Relationship Id="rId43" Type="http://schemas.openxmlformats.org/officeDocument/2006/relationships/hyperlink" Target="https://creativecommons.org/licenses/by/4.0/" TargetMode="External"/><Relationship Id="rId44" Type="http://schemas.openxmlformats.org/officeDocument/2006/relationships/hyperlink" Target="https://360info.org" TargetMode="External"/><Relationship Id="rId45" Type="http://schemas.openxmlformats.org/officeDocument/2006/relationships/hyperlink" Target="https://360info.org/is-this-the-real-answer-to-our-cost-of-living-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2026-02-25T15:49:04+00:00</dcterms:created>
  <dcterms:modified xsi:type="dcterms:W3CDTF">2026-02-25T15:49:04+00:00</dcterms:modified>
</cp:coreProperties>
</file>

<file path=docProps/custom.xml><?xml version="1.0" encoding="utf-8"?>
<Properties xmlns="http://schemas.openxmlformats.org/officeDocument/2006/custom-properties" xmlns:vt="http://schemas.openxmlformats.org/officeDocument/2006/docPropsVTypes"/>
</file>